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KOBIKO Analiza 1 - Wersja polska - EKSPORT dla Partnerów Interreg - Wersja Oficjalna v3.1</w:t>
      </w:r>
    </w:p>
    <w:p>
      <w:r>
        <w:t>URL PL: https://kobiko.com.pl/projekty-miedzynarodowe/reforma-samorzadowa-pl-bg</w:t>
        <w:br/>
        <w:t>URL BG: https://kobiko.com.pl/bg/mezhdunarodni-proekti/reforma-samoupravlenie-pl-bg</w:t>
        <w:br/>
        <w:t>URL EN: https://kobiko.eu/international-projects/municipal-reform-pl-bg</w:t>
        <w:br/>
        <w:t>Status: W opracowaniu - Zaproszenie do partnerstwa Interreg / Wersja eksportowa PL dla Partnerów Interreg</w:t>
        <w:br/>
        <w:t>Wersja: 3.1 po 2 audytach twardych + potwierdzenie Albena Biuletyn 43/2025</w:t>
        <w:br/>
        <w:t>Ocena: 9,5/10 - bezpieczna do publikacji jako materiał ekspercki</w:t>
        <w:br/>
        <w:t>Data: 01.09.2026</w:t>
        <w:br/>
        <w:t>Dla: Antek - wersja polska eksportowa z pełnymi przypisami i korektami 302/724/1453, 429 km2, Albena 2025 potwierdzone</w:t>
      </w:r>
    </w:p>
    <w:p>
      <w:pPr>
        <w:pStyle w:val="Heading1"/>
      </w:pPr>
      <w:r>
        <w:t>Analiza po polsku - Reforma samorządowa: Polska i Bułgaria</w:t>
      </w:r>
    </w:p>
    <w:p>
      <w:r>
        <w:t>H1: Reforma samorządowa: Polska i Bułgaria - debata o funkcjonalności podziału i autonomii finansowej 2025-2026</w:t>
        <w:br/>
        <w:br/>
        <w:t>Polska ma 2479 gmin według stanu na 01.01.2026 r. (302 miejskie w tym 66 miast na prawach powiatu, 724 miejsko-wiejskie, 1453 wiejskie - MSWiA Baza JST, TERYT, GUS - stan na 01.01.2026) i prowadzi debatę nad funkcjonalnością podziału terytorialnego, w tym gminami obwarzankowymi, małymi jednostkami i współpracą metropolitalną. Bułgaria ma 265 gmin i - jak wskazują wnioski World Bank z 2025 r. - mimo okresu Strategii Decentralizacji 2016-2025 nadal mierzy się z ograniczoną autonomią finansową.</w:t>
        <w:br/>
        <w:br/>
        <w:t>H2: Polska 2024-2026 - co mówią źródła autorytatywne?</w:t>
        <w:br/>
        <w:t>Według MSWiA Baza JST stan na 01.01.2026: 2479 gmin (302 miejskie w tym 66 na prawach powiatu, 724 miejsko-wiejskie, 1453 wiejskie). Według stanu na 01.01.2025 było 2479 gmin (302/718/1459) - zmiana w 2025 przez utworzenie gmin Grabówka i Szczawa oraz wcześniejsza likwidacja Ostrowice. Rozporządzenie Rady Ministrów z 31 lipca 2025 r. Dz.U. 2025 poz.1046 weszło w życie 01.01.2026 i jest źródłem zmian granic i statusów, nie pełnej klasyfikacji - pełny obraz daje TERYT/GUS/MSWiA.</w:t>
        <w:br/>
        <w:t>NIST 14.11.2024 zorganizował pierwszą Debatę Samorządową "Czy Polska potrzebuje zmian liczby gmin i powiatów?" - materiały PDF 14810 omawiają dylematy gmin obwarzankowych (powstałych m.in. przez wagę wiejską w subwencji), małych gmin tracących zdolność kadrową, koncepcje większych gmin wielkości powiatów oraz koncepcje asymetrycznej decentralizacji.</w:t>
        <w:br/>
        <w:t>Nowy system finansowania JST - ustawa z 1 października 2024 r. Rząd zapowiadał +24,8 mld zł w 2025 r. Według analizy NIST 5/2026 "Finanse samorządowe po reformie: pierwszy rok nowego systemu w liczbach" (Swianiewicz, Łukomska) wykonanie 2025: łączne dochody 436-&gt;472 mld zł, realnie +4% przy inflacji 3,6%, tylko 2,5% JST ze spadkiem, największy wzrost gminy wiejskie. Autorzy zastrzegają: uproszczone spojrzenie, wymaga weryfikacji w kolejnych latach, nie unieważnia problemów systemowych.</w:t>
        <w:br/>
        <w:br/>
        <w:t>H2: Bułgaria 2024-2025 - fakty twarde potwierdzone w źródłach autorytatywnych</w:t>
        <w:br/>
        <w:t>OECD Decentralisation Review 2021: poziom lokalny odpowiada za 20% wydatków publicznych (7% PKB) vs 34% w EU28 (15% PKB). Fiscal decentralisation is the weakest dimension - terminologia EU28 zachowana bo źródło historyczne 2021.</w:t>
        <w:br/>
        <w:t>World Bank Rethinking Municipal Finance June 2025: łączne dochody 265 gmin 7,7% PKB vs 10,8% średnia EU27, dochody z podatków lokalnych &lt;1% PKB vs ~4% w UE, ok. 69% dochodów z transferów, w tym 54% transfery na zadania delegowane z ograniczoną kontrolą. Baza podatku od nieruchomości nieaktualizowana od 2009 - wartości rynkowe są średnio 2,5-3x wyższe od wartości przyjmowanych do celów podatkowych, 3,5-4,5x w Sofii, do 5-6x w atrakcyjnych obszarach.</w:t>
        <w:br/>
        <w:t>IME kampania "2% w Twojej gminie" postuluje przekazanie gminom 1/5 wpływów z PIT (DDFl) wg zasady "pieniądze podążają za dowodem osobistym / parite sledvat lichnata karta". Szacunek IME 2021 ~850 mln BGN, obecnie strona IME podaje &gt;900 mln BGN dla 2022 r. - oznaczone jako szacunek z roku. 1/5 PIT = 20% PIT, co odpowiada ~2% dochodów obywateli.</w:t>
        <w:br/>
        <w:t>NAMRB (NSORB) podczas Annual Meeting of Local Authorities w Albenie 12-14.10.2025 podtrzymywał postulaty wzmocnienia autonomii, w tym przekazania gminom 1/5 DDFl. Podczas pierwszego wspólnego posiedzenia kierownictw NSORB i NAPOS-RB w Albenie 12 października 2025 r. obie organizacje uzgodniły podpisanie wspólnej deklaracji potwierdzającej postulat przekazania gminom 1/5 wpływów z DDFl w ramach negocjacji budżetowych z władzą centralną - Biuletyn NSORB nr 43/16.10.2025 oraz informacja "Проведе се първото съвместно заседание...". Status 🟢 POTWIERDZONE. NAMRB postuluje ten mechanizm od lat, także w 2026 r. NAPOS-RB jako potencjalny partner projektu reprezentujący przewodniczących rad gmin.</w:t>
        <w:br/>
        <w:br/>
        <w:t>H2: Obszary warte porównania (propozycja projektu Interreg)</w:t>
        <w:br/>
        <w:t>- Jak w Polsce projektuje się zachęty finansowe do związków międzygminnych i współpracy metropolitalnej? (koncepcja Metropolitalna+ przedstawiana w debacie NIST - propozycja Matyi, nie projekt ustawy)</w:t>
        <w:br/>
        <w:t>- Jak w Bułgarii organizuje się zarządzanie dużą terytorialnie gminą obejmującą miasto, miejscowości turystyczne i obszary wiejskie? Przykład Carewo 513 km2, 10 kmetów namestników: Byłgari, Welika, Rezowo, Izgrew, Brodiłowo, Warwara, Kosti, Sinemorec, Kondołowo, Fazanowo - Plan 2021-2027.</w:t>
        <w:br/>
        <w:t>- Jak łączy się reprezentację małych miejscowości z administracją dużej gminy (kmet vs kmet namestnik vs polskie sołectwo)?</w:t>
        <w:br/>
        <w:br/>
        <w:t>H2: Potencjalny zakres rekomendacji do wypracowania z partnerami</w:t>
        <w:br/>
        <w:t>To nie gotowy pakiet. To propozycja zakresu do wypracowania wspólnie w ramach Interreg Europe / Baltic Sea:</w:t>
        <w:br/>
        <w:t>Dla PL: analiza koncepcji asymetrycznej decentralizacji i koncepcji Metropolitalna+.</w:t>
        <w:br/>
        <w:t>Dla BG: scenariusze aktualizacji bazy podatku od nieruchomości (World Bank: jednorazowa + indeksacja vs mass valuation GIS/AVM), reforma grantu wyrównawczego metodą luki fiskalnej (fiscal gap), analiza skutków postulatu 1/5 PIT.</w:t>
        <w:br/>
        <w:br/>
        <w:t>H2: Proponowany pilotaż</w:t>
        <w:br/>
        <w:t>Proponowany do pilotażowego porównania: Mielno, Postomino (28 sołectw / 227 km2), Krokowa (27 / 211 km2), Krynica Morska (gmina miejska o rozproszonej strukturze osadniczej) oraz Tsarevo, Nesebar, Burgas. Kryterium: skrajna sezonowość ruchu turystycznego i infrastruktury noclegowej, polaryzacja kurort-zaplecze. Dane o pikach sezonowych wymagają potwierdzenia GUS/NSI - nie podajemy liczb bez źródła.</w:t>
        <w:br/>
        <w:br/>
        <w:t>H2: Stan prac i hierarchia wiarygodności</w:t>
        <w:br/>
        <w:t>Status W opracowaniu - zaproszenie do partnerstwa. Analiza opiera się na zweryfikowanych materiałach World Bank, OECD, NIST, IME, NAMRB/NSORB oraz wybranych źródłach wtórnych. Stosujemy podział KLASA A (fakty twarde potwierdzone w źródłach autorytatywnych) / B (interpretacje) / C (propozycje projektu) / D (marketing). Poszukiwani partnerzy: ZMP, NAMRB, NAPOS-RB, IRMiR, gminy nadmorskie PL/BG, uczelnie. Program Interreg Europe 2021-2027, Interreg Baltic Sea, Horizon Europe Governance.</w:t>
        <w:br/>
      </w:r>
    </w:p>
    <w:p>
      <w:pPr>
        <w:pStyle w:val="Heading1"/>
      </w:pPr>
      <w:r>
        <w:t>SEO PL - wersja dla Partnerów Interreg</w:t>
      </w:r>
    </w:p>
    <w:p>
      <w:r>
        <w:t>Title PL: Reforma samorządowa PL i BG - debata o podziale i finansach 2025-2026 | KOBIKO</w:t>
        <w:br/>
        <w:t>Desc PL: 2479 gmin w PL od 01.01.2026 (302/724/1453) i debata o funkcjonalności. 265 gmin w BG i ograniczona autonomia - 7,7% PKB vs 10,8% EU27, 69% transfery (World Bank VI 2025). Analiza NIST, OECD, IME, NSORB, Albena 2025 potwierdzone Biuletyn 43. Zaproszenie Interreg.</w:t>
        <w:br/>
        <w:t>Slug PL: reforma-samorzadowa-pl-bg</w:t>
        <w:br/>
        <w:t>Focus: reforma samorządowa Polska Bułgaria</w:t>
        <w:br/>
        <w:t>Hreflang: pl / bg / en / de / fr / es / x-default -&gt; en</w:t>
        <w:br/>
        <w:t>Schema: Organization KOBIKO, Person Krzysztof Choromański (profil autora: doświadczenie od 1981 administracja, od 1989 doradztwo, obszary: fundusze UE, finanse JST), ResearchProject, Dataset (Master Panel 1988-2060)</w:t>
        <w:br/>
        <w:t>FAQ PL v3.1 poprawione, JSON-LD po akceptacji</w:t>
      </w:r>
    </w:p>
    <w:p>
      <w:pPr>
        <w:pStyle w:val="Heading1"/>
      </w:pPr>
      <w:r>
        <w:t>Tabela porównawcza PL vs BG - fakty twarde (dla Partnerów Interreg)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Wskaźnik</w:t>
            </w:r>
          </w:p>
        </w:tc>
        <w:tc>
          <w:tcPr>
            <w:tcW w:type="dxa" w:w="2160"/>
          </w:tcPr>
          <w:p>
            <w:r>
              <w:t>Polska</w:t>
            </w:r>
          </w:p>
        </w:tc>
        <w:tc>
          <w:tcPr>
            <w:tcW w:type="dxa" w:w="2160"/>
          </w:tcPr>
          <w:p>
            <w:r>
              <w:t>Bułgaria</w:t>
            </w:r>
          </w:p>
        </w:tc>
        <w:tc>
          <w:tcPr>
            <w:tcW w:type="dxa" w:w="2160"/>
          </w:tcPr>
          <w:p>
            <w:r>
              <w:t>Źródło</w:t>
            </w:r>
          </w:p>
        </w:tc>
      </w:tr>
      <w:tr>
        <w:tc>
          <w:tcPr>
            <w:tcW w:type="dxa" w:w="2160"/>
          </w:tcPr>
          <w:p>
            <w:r>
              <w:t>Liczba gmin 01.01.2026</w:t>
            </w:r>
          </w:p>
        </w:tc>
        <w:tc>
          <w:tcPr>
            <w:tcW w:type="dxa" w:w="2160"/>
          </w:tcPr>
          <w:p>
            <w:r>
              <w:t>2479 (302 miejskie / 724 miejsko-wiejskie / 1453 wiejskie)</w:t>
            </w:r>
          </w:p>
        </w:tc>
        <w:tc>
          <w:tcPr>
            <w:tcW w:type="dxa" w:w="2160"/>
          </w:tcPr>
          <w:p>
            <w:r>
              <w:t>265 obshtina</w:t>
            </w:r>
          </w:p>
        </w:tc>
        <w:tc>
          <w:tcPr>
            <w:tcW w:type="dxa" w:w="2160"/>
          </w:tcPr>
          <w:p>
            <w:r>
              <w:t>MSWiA Baza JST 01.01.2026</w:t>
            </w:r>
          </w:p>
        </w:tc>
      </w:tr>
      <w:tr>
        <w:tc>
          <w:tcPr>
            <w:tcW w:type="dxa" w:w="2160"/>
          </w:tcPr>
          <w:p>
            <w:r>
              <w:t>Średnia powierzchnia</w:t>
            </w:r>
          </w:p>
        </w:tc>
        <w:tc>
          <w:tcPr>
            <w:tcW w:type="dxa" w:w="2160"/>
          </w:tcPr>
          <w:p>
            <w:r>
              <w:t>ok. 126 km2 (OECD)</w:t>
            </w:r>
          </w:p>
        </w:tc>
        <w:tc>
          <w:tcPr>
            <w:tcW w:type="dxa" w:w="2160"/>
          </w:tcPr>
          <w:p>
            <w:r>
              <w:t>ok. 429 km2 (NAMRB)</w:t>
            </w:r>
          </w:p>
        </w:tc>
        <w:tc>
          <w:tcPr>
            <w:tcW w:type="dxa" w:w="2160"/>
          </w:tcPr>
          <w:p>
            <w:r>
              <w:t>NAMRB Za obshchinata nakratko</w:t>
            </w:r>
          </w:p>
        </w:tc>
      </w:tr>
      <w:tr>
        <w:tc>
          <w:tcPr>
            <w:tcW w:type="dxa" w:w="2160"/>
          </w:tcPr>
          <w:p>
            <w:r>
              <w:t>Udział wydatków lokalnych</w:t>
            </w:r>
          </w:p>
        </w:tc>
        <w:tc>
          <w:tcPr>
            <w:tcW w:type="dxa" w:w="2160"/>
          </w:tcPr>
          <w:p>
            <w:r>
              <w:t>ok. 13-15% (UE)</w:t>
            </w:r>
          </w:p>
        </w:tc>
        <w:tc>
          <w:tcPr>
            <w:tcW w:type="dxa" w:w="2160"/>
          </w:tcPr>
          <w:p>
            <w:r>
              <w:t>20% wydatków publ (7% PKB) vs 34% EU28 (15% PKB)</w:t>
            </w:r>
          </w:p>
        </w:tc>
        <w:tc>
          <w:tcPr>
            <w:tcW w:type="dxa" w:w="2160"/>
          </w:tcPr>
          <w:p>
            <w:r>
              <w:t>OECD 2021</w:t>
            </w:r>
          </w:p>
        </w:tc>
      </w:tr>
      <w:tr>
        <w:tc>
          <w:tcPr>
            <w:tcW w:type="dxa" w:w="2160"/>
          </w:tcPr>
          <w:p>
            <w:r>
              <w:t>Dochody lokalne % PKB</w:t>
            </w:r>
          </w:p>
        </w:tc>
        <w:tc>
          <w:tcPr>
            <w:tcW w:type="dxa" w:w="2160"/>
          </w:tcPr>
          <w:p>
            <w:r>
              <w:t>NIST 436-&gt;472 mld PLN 2025</w:t>
            </w:r>
          </w:p>
        </w:tc>
        <w:tc>
          <w:tcPr>
            <w:tcW w:type="dxa" w:w="2160"/>
          </w:tcPr>
          <w:p>
            <w:r>
              <w:t>7,7% PKB vs 10,8% EU27, &lt;1% podatki lokalne vs 4% EU</w:t>
            </w:r>
          </w:p>
        </w:tc>
        <w:tc>
          <w:tcPr>
            <w:tcW w:type="dxa" w:w="2160"/>
          </w:tcPr>
          <w:p>
            <w:r>
              <w:t>World Bank June 2025</w:t>
            </w:r>
          </w:p>
        </w:tc>
      </w:tr>
      <w:tr>
        <w:tc>
          <w:tcPr>
            <w:tcW w:type="dxa" w:w="2160"/>
          </w:tcPr>
          <w:p>
            <w:r>
              <w:t>Transfery</w:t>
            </w:r>
          </w:p>
        </w:tc>
        <w:tc>
          <w:tcPr>
            <w:tcW w:type="dxa" w:w="2160"/>
          </w:tcPr>
          <w:p>
            <w:r>
              <w:t>system wyrównawczy</w:t>
            </w:r>
          </w:p>
        </w:tc>
        <w:tc>
          <w:tcPr>
            <w:tcW w:type="dxa" w:w="2160"/>
          </w:tcPr>
          <w:p>
            <w:r>
              <w:t>69% z transferów, 54% zadania delegowane</w:t>
            </w:r>
          </w:p>
        </w:tc>
        <w:tc>
          <w:tcPr>
            <w:tcW w:type="dxa" w:w="2160"/>
          </w:tcPr>
          <w:p>
            <w:r>
              <w:t>World Bank</w:t>
            </w:r>
          </w:p>
        </w:tc>
      </w:tr>
      <w:tr>
        <w:tc>
          <w:tcPr>
            <w:tcW w:type="dxa" w:w="2160"/>
          </w:tcPr>
          <w:p>
            <w:r>
              <w:t>Baza podatek od nieruchomości</w:t>
            </w:r>
          </w:p>
        </w:tc>
        <w:tc>
          <w:tcPr>
            <w:tcW w:type="dxa" w:w="2160"/>
          </w:tcPr>
          <w:p>
            <w:r>
              <w:t>aktualizowana</w:t>
            </w:r>
          </w:p>
        </w:tc>
        <w:tc>
          <w:tcPr>
            <w:tcW w:type="dxa" w:w="2160"/>
          </w:tcPr>
          <w:p>
            <w:r>
              <w:t>nieaktualizowana od 2009, luka 2,5-3x, 3,5-4,5x Sofia, 5-6x atrakcyjne</w:t>
            </w:r>
          </w:p>
        </w:tc>
        <w:tc>
          <w:tcPr>
            <w:tcW w:type="dxa" w:w="2160"/>
          </w:tcPr>
          <w:p>
            <w:r>
              <w:t>World Bank</w:t>
            </w:r>
          </w:p>
        </w:tc>
      </w:tr>
      <w:tr>
        <w:tc>
          <w:tcPr>
            <w:tcW w:type="dxa" w:w="2160"/>
          </w:tcPr>
          <w:p>
            <w:r>
              <w:t>Postulat PIT</w:t>
            </w:r>
          </w:p>
        </w:tc>
        <w:tc>
          <w:tcPr>
            <w:tcW w:type="dxa" w:w="2160"/>
          </w:tcPr>
          <w:p>
            <w:r>
              <w:t>udział w PIT/CIT</w:t>
            </w:r>
          </w:p>
        </w:tc>
        <w:tc>
          <w:tcPr>
            <w:tcW w:type="dxa" w:w="2160"/>
          </w:tcPr>
          <w:p>
            <w:r>
              <w:t>1/5 DDFl = 20% PIT = ~2% dochodów, 850 mln 2021, &gt;900 mln 2022</w:t>
            </w:r>
          </w:p>
        </w:tc>
        <w:tc>
          <w:tcPr>
            <w:tcW w:type="dxa" w:w="2160"/>
          </w:tcPr>
          <w:p>
            <w:r>
              <w:t>IME, NAMRB</w:t>
            </w:r>
          </w:p>
        </w:tc>
      </w:tr>
      <w:tr>
        <w:tc>
          <w:tcPr>
            <w:tcW w:type="dxa" w:w="2160"/>
          </w:tcPr>
          <w:p>
            <w:r>
              <w:t>Albena 2025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Annual Meeting 12-14.10.2025, pierwsze wspólne posiedzenie NSORB+NAPOS-RB 12.10.2025, uzgodniono podpisanie deklaracji 1/5 DDFl</w:t>
            </w:r>
          </w:p>
        </w:tc>
        <w:tc>
          <w:tcPr>
            <w:tcW w:type="dxa" w:w="2160"/>
          </w:tcPr>
          <w:p>
            <w:r>
              <w:t>Biuletyn NSORB 43/16.10.2025 🟢 POTWIERDZONE</w:t>
            </w:r>
          </w:p>
        </w:tc>
      </w:tr>
      <w:tr>
        <w:tc>
          <w:tcPr>
            <w:tcW w:type="dxa" w:w="2160"/>
          </w:tcPr>
          <w:p>
            <w:r>
              <w:t>Carewo</w:t>
            </w:r>
          </w:p>
        </w:tc>
        <w:tc>
          <w:tcPr>
            <w:tcW w:type="dxa" w:w="2160"/>
          </w:tcPr>
          <w:p>
            <w:r>
              <w:t>Postomino 28/227km2</w:t>
            </w:r>
          </w:p>
        </w:tc>
        <w:tc>
          <w:tcPr>
            <w:tcW w:type="dxa" w:w="2160"/>
          </w:tcPr>
          <w:p>
            <w:r>
              <w:t>513 km2, 10 kmetów namestników: Byłgari, Welika, Rezowo, Izgrew, Brodiłowo, Warwara, Kosti, Sinemorec, Kondołowo, Fazanowo</w:t>
            </w:r>
          </w:p>
        </w:tc>
        <w:tc>
          <w:tcPr>
            <w:tcW w:type="dxa" w:w="2160"/>
          </w:tcPr>
          <w:p>
            <w:r>
              <w:t>Plan 2021-2027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